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Y="960"/>
        <w:tblW w:w="94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3" w:hRule="atLeast"/>
        </w:trPr>
        <w:tc>
          <w:tcPr>
            <w:tcW w:w="455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863" w:type="dxa"/>
            <w:shd w:val="clear" w:color="auto" w:fill="auto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НАО «Медицинский университет Караганды»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биоэтике НАО МУК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59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документа:</w:t>
            </w:r>
          </w:p>
        </w:tc>
        <w:tc>
          <w:tcPr>
            <w:tcW w:w="4863" w:type="dxa"/>
          </w:tcPr>
          <w:p>
            <w:pPr>
              <w:shd w:val="clear" w:color="auto" w:fill="FFFFFF"/>
              <w:tabs>
                <w:tab w:val="left" w:pos="8078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СОП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28-9/02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Экспертиза исследований медицинских приборов/ оборудования</w:t>
            </w:r>
          </w:p>
        </w:tc>
      </w:tr>
    </w:tbl>
    <w:p>
      <w:pPr>
        <w:rPr>
          <w:b/>
          <w:bCs/>
          <w:iCs/>
          <w:sz w:val="24"/>
          <w:szCs w:val="24"/>
        </w:rPr>
      </w:pPr>
    </w:p>
    <w:p>
      <w:pPr>
        <w:rPr>
          <w:b/>
          <w:bCs/>
          <w:iCs/>
          <w:sz w:val="24"/>
          <w:szCs w:val="24"/>
        </w:rPr>
      </w:pPr>
    </w:p>
    <w:tbl>
      <w:tblPr>
        <w:tblStyle w:val="8"/>
        <w:tblW w:w="955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715"/>
        <w:gridCol w:w="3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920" w:type="dxa"/>
            <w:tcBorders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Разработчики:</w:t>
            </w: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Утверждено</w:t>
            </w:r>
          </w:p>
        </w:tc>
        <w:tc>
          <w:tcPr>
            <w:tcW w:w="3919" w:type="dxa"/>
            <w:vMerge w:val="restart"/>
            <w:tcBorders>
              <w:left w:val="single" w:color="auto" w:sz="4" w:space="0"/>
            </w:tcBorders>
          </w:tcPr>
          <w:p>
            <w:pPr>
              <w:tabs>
                <w:tab w:val="center" w:pos="4677"/>
                <w:tab w:val="right" w:pos="935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Проректор по </w:t>
            </w:r>
          </w:p>
          <w:p>
            <w:pPr>
              <w:tabs>
                <w:tab w:val="center" w:pos="4677"/>
                <w:tab w:val="right" w:pos="935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стратегическому развитию и науке НАО МУК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_______Турмухамбетова А.А.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920" w:type="dxa"/>
            <w:tcBorders>
              <w:bottom w:val="nil"/>
              <w:right w:val="single" w:color="auto" w:sz="4" w:space="0"/>
            </w:tcBorders>
          </w:tcPr>
          <w:p>
            <w:pPr>
              <w:tabs>
                <w:tab w:val="center" w:pos="248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Комитета по Биоэтике</w:t>
            </w:r>
          </w:p>
          <w:p>
            <w:pPr>
              <w:tabs>
                <w:tab w:val="center" w:pos="248"/>
              </w:tabs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center" w:pos="248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>
              <w:rPr>
                <w:bCs/>
                <w:sz w:val="24"/>
                <w:szCs w:val="24"/>
              </w:rPr>
              <w:t xml:space="preserve"> Вистерничан О.А</w:t>
            </w:r>
          </w:p>
        </w:tc>
        <w:tc>
          <w:tcPr>
            <w:tcW w:w="271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утверждения</w:t>
            </w:r>
          </w:p>
        </w:tc>
        <w:tc>
          <w:tcPr>
            <w:tcW w:w="3919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920" w:type="dxa"/>
            <w:tcBorders>
              <w:top w:val="nil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92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разработки:</w:t>
            </w:r>
            <w:r>
              <w:rPr>
                <w:bCs/>
                <w:sz w:val="24"/>
                <w:szCs w:val="24"/>
              </w:rPr>
              <w:t xml:space="preserve"> «___»_______ 202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tabs>
                <w:tab w:val="center" w:pos="248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Комитета по Биоэтике</w:t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</w:t>
            </w:r>
            <w:r>
              <w:rPr>
                <w:bCs/>
                <w:sz w:val="24"/>
                <w:szCs w:val="24"/>
              </w:rPr>
              <w:t>Вистерничан О.А.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92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 в действие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«___» _____________ 202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92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Сотрудник, отвечающий за выполнение процедуры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Члены Комитета по биоэтике</w:t>
            </w:r>
          </w:p>
        </w:tc>
      </w:tr>
    </w:tbl>
    <w:p>
      <w:pPr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>
      <w:pPr>
        <w:ind w:firstLine="709"/>
        <w:jc w:val="both"/>
        <w:rPr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Цель:</w:t>
      </w:r>
      <w:r>
        <w:rPr>
          <w:i w:val="0"/>
          <w:iCs w:val="0"/>
          <w:sz w:val="24"/>
          <w:szCs w:val="24"/>
        </w:rPr>
        <w:t xml:space="preserve"> описать процедуру </w:t>
      </w:r>
      <w:r>
        <w:rPr>
          <w:i w:val="0"/>
          <w:iCs w:val="0"/>
          <w:sz w:val="24"/>
          <w:szCs w:val="24"/>
          <w:lang w:val="ru-RU"/>
        </w:rPr>
        <w:t>этической</w:t>
      </w:r>
      <w:r>
        <w:rPr>
          <w:rFonts w:hint="default"/>
          <w:i w:val="0"/>
          <w:iCs w:val="0"/>
          <w:sz w:val="24"/>
          <w:szCs w:val="24"/>
          <w:lang w:val="ru-RU"/>
        </w:rPr>
        <w:t xml:space="preserve"> </w:t>
      </w:r>
      <w:r>
        <w:rPr>
          <w:i w:val="0"/>
          <w:iCs w:val="0"/>
          <w:sz w:val="24"/>
          <w:szCs w:val="24"/>
        </w:rPr>
        <w:t xml:space="preserve">экспертизы и одобрения исследований с </w:t>
      </w:r>
      <w:r>
        <w:rPr>
          <w:i w:val="0"/>
          <w:iCs w:val="0"/>
          <w:sz w:val="24"/>
          <w:szCs w:val="24"/>
          <w:lang w:val="ru-RU"/>
        </w:rPr>
        <w:t>спользованием</w:t>
      </w:r>
      <w:r>
        <w:rPr>
          <w:rFonts w:hint="default"/>
          <w:i w:val="0"/>
          <w:iCs w:val="0"/>
          <w:sz w:val="24"/>
          <w:szCs w:val="24"/>
          <w:lang w:val="ru-RU"/>
        </w:rPr>
        <w:t xml:space="preserve"> </w:t>
      </w:r>
      <w:r>
        <w:rPr>
          <w:i w:val="0"/>
          <w:iCs w:val="0"/>
          <w:sz w:val="24"/>
          <w:szCs w:val="24"/>
        </w:rPr>
        <w:t>медицински</w:t>
      </w:r>
      <w:r>
        <w:rPr>
          <w:i w:val="0"/>
          <w:iCs w:val="0"/>
          <w:sz w:val="24"/>
          <w:szCs w:val="24"/>
          <w:lang w:val="ru-RU"/>
        </w:rPr>
        <w:t>х</w:t>
      </w:r>
      <w:r>
        <w:rPr>
          <w:i w:val="0"/>
          <w:iCs w:val="0"/>
          <w:sz w:val="24"/>
          <w:szCs w:val="24"/>
        </w:rPr>
        <w:t xml:space="preserve"> прибор</w:t>
      </w:r>
      <w:r>
        <w:rPr>
          <w:i w:val="0"/>
          <w:iCs w:val="0"/>
          <w:sz w:val="24"/>
          <w:szCs w:val="24"/>
          <w:lang w:val="ru-RU"/>
        </w:rPr>
        <w:t>ов</w:t>
      </w:r>
      <w:r>
        <w:rPr>
          <w:rFonts w:hint="default"/>
          <w:i w:val="0"/>
          <w:iCs w:val="0"/>
          <w:sz w:val="24"/>
          <w:szCs w:val="24"/>
          <w:lang w:val="ru-RU"/>
        </w:rPr>
        <w:t xml:space="preserve"> или медицинского оборудования</w:t>
      </w:r>
      <w:r>
        <w:rPr>
          <w:i w:val="0"/>
          <w:iCs w:val="0"/>
          <w:sz w:val="24"/>
          <w:szCs w:val="24"/>
        </w:rPr>
        <w:t xml:space="preserve">. </w:t>
      </w:r>
    </w:p>
    <w:p>
      <w:pPr>
        <w:ind w:firstLine="709"/>
        <w:jc w:val="both"/>
        <w:rPr>
          <w:rFonts w:hint="default"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Область применения: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 xml:space="preserve">данный СОП применим </w:t>
      </w:r>
      <w:r>
        <w:rPr>
          <w:b w:val="0"/>
          <w:bCs w:val="0"/>
          <w:i w:val="0"/>
          <w:iCs w:val="0"/>
          <w:color w:val="auto"/>
          <w:sz w:val="24"/>
          <w:szCs w:val="24"/>
          <w:lang w:val="ru-RU"/>
        </w:rPr>
        <w:t>при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 xml:space="preserve"> экспертизе </w:t>
      </w:r>
      <w:r>
        <w:rPr>
          <w:b w:val="0"/>
          <w:bCs w:val="0"/>
          <w:i w:val="0"/>
          <w:iCs w:val="0"/>
          <w:color w:val="auto"/>
          <w:sz w:val="24"/>
          <w:szCs w:val="24"/>
          <w:lang w:val="ru-RU"/>
        </w:rPr>
        <w:t>протоколов</w:t>
      </w: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исследований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 xml:space="preserve"> с вовлечением людей </w:t>
      </w:r>
      <w:r>
        <w:rPr>
          <w:b w:val="0"/>
          <w:bCs w:val="0"/>
          <w:i w:val="0"/>
          <w:iCs w:val="0"/>
          <w:color w:val="auto"/>
          <w:sz w:val="24"/>
          <w:szCs w:val="24"/>
          <w:lang w:val="ru-RU"/>
        </w:rPr>
        <w:t>и</w:t>
      </w: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изучением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новых медицинских приборов.</w:t>
      </w:r>
    </w:p>
    <w:p>
      <w:pPr>
        <w:ind w:firstLine="709"/>
        <w:jc w:val="both"/>
        <w:rPr>
          <w:rFonts w:hint="default"/>
          <w:b/>
          <w:bCs/>
          <w:i w:val="0"/>
          <w:i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Ответственность</w:t>
      </w:r>
      <w:r>
        <w:rPr>
          <w:rFonts w:hint="default"/>
          <w:b/>
          <w:bCs/>
          <w:i w:val="0"/>
          <w:iCs w:val="0"/>
          <w:color w:val="auto"/>
          <w:sz w:val="24"/>
          <w:szCs w:val="24"/>
          <w:lang w:val="ru-RU"/>
        </w:rPr>
        <w:t xml:space="preserve"> эксперта:</w:t>
      </w:r>
    </w:p>
    <w:p>
      <w:pPr>
        <w:ind w:firstLine="709"/>
        <w:jc w:val="both"/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  <w:t>При проведении экспертизы эксперт должен определить:</w:t>
      </w:r>
    </w:p>
    <w:p>
      <w:pPr>
        <w:numPr>
          <w:ilvl w:val="0"/>
          <w:numId w:val="1"/>
        </w:numPr>
        <w:ind w:firstLine="709"/>
        <w:jc w:val="both"/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  <w:t>имеет ли рассматриваемое исследование</w:t>
      </w:r>
      <w:r>
        <w:rPr>
          <w:rFonts w:hint="default"/>
          <w:b/>
          <w:bCs/>
          <w:i w:val="0"/>
          <w:iCs w:val="0"/>
          <w:color w:val="auto"/>
          <w:sz w:val="24"/>
          <w:szCs w:val="24"/>
          <w:lang w:val="ru-RU"/>
        </w:rPr>
        <w:t xml:space="preserve">  значительный </w:t>
      </w: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  <w:t>или</w:t>
      </w:r>
      <w:r>
        <w:rPr>
          <w:rFonts w:hint="default"/>
          <w:b/>
          <w:bCs/>
          <w:i w:val="0"/>
          <w:iCs w:val="0"/>
          <w:color w:val="auto"/>
          <w:sz w:val="24"/>
          <w:szCs w:val="24"/>
          <w:lang w:val="ru-RU"/>
        </w:rPr>
        <w:t xml:space="preserve"> незначительный </w:t>
      </w: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  <w:t>риск;</w:t>
      </w:r>
    </w:p>
    <w:p>
      <w:pPr>
        <w:numPr>
          <w:ilvl w:val="0"/>
          <w:numId w:val="1"/>
        </w:numPr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ru-RU"/>
        </w:rPr>
        <w:t>Должен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рассмотреть суть возможного вреда, при использовании прибора (</w:t>
      </w:r>
      <w:r>
        <w:rPr>
          <w:sz w:val="24"/>
          <w:szCs w:val="24"/>
        </w:rPr>
        <w:t>При решении представляет прибор ЗР или НЗР, ЭК должен рассмотреть общие риски прибора, не те которые сравнимы с рисками альтернативных приборов или процедур. Если прибор используется  совместно с процедурой имеющей определенный риск, ЭК должен рассмотреть риски процедуры совестно с риском прибора. ЭК также может проконсультироваться с регулирующим агентством узнать их мнение.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) Если прибор может нанести значительный вред хотя-бы для одного участника, следовательно исследование должно рассматриваться как со значительным вредом </w:t>
      </w:r>
    </w:p>
    <w:p>
      <w:pPr>
        <w:numPr>
          <w:ilvl w:val="0"/>
          <w:numId w:val="1"/>
        </w:numPr>
        <w:ind w:firstLine="709"/>
        <w:jc w:val="both"/>
        <w:rPr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lang w:val="ru-RU"/>
        </w:rPr>
        <w:t>Принять решение - разрешить проведение исследования или нет.</w:t>
      </w:r>
    </w:p>
    <w:p>
      <w:pPr>
        <w:pStyle w:val="3"/>
        <w:ind w:firstLine="709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Порядок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работы:</w:t>
      </w:r>
    </w:p>
    <w:p>
      <w:pPr>
        <w:pStyle w:val="3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1). Получение документов, получаемых секритариатом: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Предварительный план исследования 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Форма информированного согласия </w:t>
      </w:r>
    </w:p>
    <w:p>
      <w:pPr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Описание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прибора</w:t>
      </w:r>
      <w:r>
        <w:rPr>
          <w:sz w:val="24"/>
          <w:szCs w:val="24"/>
          <w:lang w:val="en-US"/>
        </w:rPr>
        <w:t xml:space="preserve"> </w:t>
      </w:r>
    </w:p>
    <w:p>
      <w:pPr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Описание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критериев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отбора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участников</w:t>
      </w:r>
      <w:r>
        <w:rPr>
          <w:sz w:val="24"/>
          <w:szCs w:val="24"/>
          <w:lang w:val="en-US"/>
        </w:rPr>
        <w:t xml:space="preserve"> 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Процедуры мониторинга </w:t>
      </w:r>
    </w:p>
    <w:p>
      <w:pPr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Отчеты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предыдущим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исследованиям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прибора</w:t>
      </w:r>
      <w:r>
        <w:rPr>
          <w:sz w:val="24"/>
          <w:szCs w:val="24"/>
          <w:lang w:val="en-US"/>
        </w:rPr>
        <w:t xml:space="preserve"> </w:t>
      </w:r>
    </w:p>
    <w:p>
      <w:pPr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Резюме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исследователя</w:t>
      </w:r>
      <w:r>
        <w:rPr>
          <w:sz w:val="24"/>
          <w:szCs w:val="24"/>
          <w:lang w:val="en-US"/>
        </w:rPr>
        <w:t xml:space="preserve"> 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Профессиональная лицензия исследователя  (если применимо) </w:t>
      </w:r>
    </w:p>
    <w:p>
      <w:pPr>
        <w:pStyle w:val="10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Данные/информация по оценке риска </w:t>
      </w:r>
    </w:p>
    <w:p>
      <w:pPr>
        <w:pStyle w:val="10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Статистика использованная для определения риска </w:t>
      </w:r>
    </w:p>
    <w:p>
      <w:pPr>
        <w:pStyle w:val="1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Заявка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экспертизу</w:t>
      </w:r>
      <w:r>
        <w:rPr>
          <w:sz w:val="24"/>
          <w:szCs w:val="24"/>
        </w:rPr>
        <w:t xml:space="preserve"> </w:t>
      </w:r>
    </w:p>
    <w:p>
      <w:pPr>
        <w:pStyle w:val="10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Форма получения документов </w:t>
      </w:r>
    </w:p>
    <w:p>
      <w:pPr>
        <w:pStyle w:val="10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Копии всех маркировок</w:t>
      </w:r>
      <w:r>
        <w:rPr>
          <w:rFonts w:hint="default"/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использующихся только для исследования </w:t>
      </w:r>
    </w:p>
    <w:p>
      <w:pPr>
        <w:spacing w:before="120"/>
        <w:jc w:val="both"/>
        <w:rPr>
          <w:sz w:val="24"/>
          <w:szCs w:val="24"/>
        </w:rPr>
      </w:pPr>
    </w:p>
    <w:p>
      <w:pPr>
        <w:pStyle w:val="3"/>
        <w:numPr>
          <w:ilvl w:val="0"/>
          <w:numId w:val="3"/>
        </w:numPr>
        <w:spacing w:before="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Toc47789217"/>
      <w:bookmarkStart w:id="1" w:name="_Toc47789115"/>
      <w:bookmarkStart w:id="2" w:name="_Toc47789148"/>
      <w:bookmarkStart w:id="3" w:name="_Toc32327339"/>
      <w:bookmarkStart w:id="4" w:name="_Toc32327382"/>
      <w:bookmarkStart w:id="5" w:name="_Toc40183339"/>
      <w:bookmarkStart w:id="6" w:name="_Toc47788827"/>
      <w:bookmarkStart w:id="7" w:name="_Toc32327488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Определение и утверждение кандидатуры эксперта на заседании ЛКБ. </w:t>
      </w: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Отправка</w:t>
      </w:r>
      <w:r>
        <w:rPr>
          <w:rFonts w:hint="default"/>
          <w:sz w:val="24"/>
          <w:szCs w:val="24"/>
          <w:lang w:val="ru-RU"/>
        </w:rPr>
        <w:t xml:space="preserve"> документов эксперту.</w:t>
      </w: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Включение в повестку заседания вопроса о рассмотрении результата экспертизы и проведение заседания.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 xml:space="preserve">Во время заседания эксперты представляют устно или письменно краткое резюме по 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протоколу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исследования. Председатель открывает дискуссию о  категории риска исследования – НЗР или ЗР. Затем ведет дискуссию о каждом рассматриваемом документе (протокол, информированное согласие, квалификация исследователей и центра, рекламные материалы); устанавливает  степень риска</w:t>
      </w:r>
      <w:r>
        <w:rPr>
          <w:rFonts w:hint="default"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Далее Председатель призывает к отдельному голосованию по каждому элементу экспертизы.  </w:t>
      </w:r>
    </w:p>
    <w:p>
      <w:pPr>
        <w:pStyle w:val="3"/>
        <w:spacing w:before="0"/>
        <w:jc w:val="both"/>
        <w:rPr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ЛКБ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голосует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либо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: </w:t>
      </w:r>
    </w:p>
    <w:p>
      <w:pPr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Одобрить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исследование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без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изменений;</w:t>
      </w:r>
    </w:p>
    <w:p>
      <w:pPr>
        <w:numPr>
          <w:ilvl w:val="0"/>
          <w:numId w:val="4"/>
        </w:numPr>
        <w:tabs>
          <w:tab w:val="left" w:pos="0"/>
          <w:tab w:val="clear" w:pos="72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Одобрить исследование с небольшими модификациями по вопросам отмеченным на прошедшем заседании с последующим рассмотрением секретариатом и председателем, после получения требуемых изменений;  </w:t>
      </w:r>
    </w:p>
    <w:p>
      <w:pPr>
        <w:numPr>
          <w:ilvl w:val="0"/>
          <w:numId w:val="4"/>
        </w:numPr>
        <w:tabs>
          <w:tab w:val="left" w:pos="0"/>
          <w:tab w:val="clear" w:pos="72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Потребовать значительные изменения и/или дальнейшую информацию для повторного рассмотрения и экспертизы на следующем заседании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>;</w:t>
      </w:r>
    </w:p>
    <w:p>
      <w:pPr>
        <w:numPr>
          <w:ilvl w:val="0"/>
          <w:numId w:val="4"/>
        </w:numPr>
        <w:tabs>
          <w:tab w:val="left" w:pos="0"/>
          <w:tab w:val="clear" w:pos="72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одобрить исследование и указать причины. </w:t>
      </w:r>
    </w:p>
    <w:p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запротоколировать рекомендации членов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  для изменений в протоколе и/или форме ИС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Далее </w:t>
      </w:r>
      <w:r>
        <w:rPr>
          <w:sz w:val="24"/>
          <w:szCs w:val="24"/>
          <w:lang w:val="ru-RU"/>
        </w:rPr>
        <w:t>необходимо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определить частоту промежуточной экспертизы по ходу исследования для одобренных исследований. </w:t>
      </w:r>
    </w:p>
    <w:p>
      <w:pPr>
        <w:pStyle w:val="3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5). Подготовить протокол заседания, выписку-решение, оповестить исследователя о готовноости решения (с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екретариат направляет письмо с одобренными документами исследователю. Письмо содержит как минимум, перечисление каждого разрешенного  документа, с датами, установленными для промежуточной экспертизы и другие обязательства и ожидания от исследователя по ходу всего исследования.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)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на заседании проголосовали за не одобрение исследования, секретариат или Председатель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 немедленно извещает исследователя письменно о принятом решении с указанием причин. Если исследователь решает подать апелляцию, он или она могут обратиться в </w:t>
      </w:r>
      <w:r>
        <w:rPr>
          <w:sz w:val="24"/>
          <w:szCs w:val="24"/>
          <w:lang w:val="ru-RU"/>
        </w:rPr>
        <w:t>ЛКБ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Данный  процесс указывается в письме для исследователя.  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 голосует за изменения в любом из документов, секретариат либо производит  изменения в документе, либо посылает письменное требование исследователю внести изменения и представить документы в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 повторно. </w:t>
      </w:r>
    </w:p>
    <w:p>
      <w:pPr>
        <w:ind w:left="720"/>
        <w:jc w:val="both"/>
        <w:rPr>
          <w:b/>
          <w:bCs/>
          <w:sz w:val="24"/>
          <w:szCs w:val="24"/>
        </w:rPr>
      </w:pPr>
    </w:p>
    <w:p>
      <w:pPr>
        <w:numPr>
          <w:numId w:val="0"/>
        </w:num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       </w:t>
      </w:r>
    </w:p>
    <w:p>
      <w:pPr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rPr>
          <w:b/>
          <w:sz w:val="24"/>
          <w:szCs w:val="24"/>
        </w:rPr>
      </w:pPr>
    </w:p>
    <w:p>
      <w:pPr>
        <w:ind w:firstLine="709"/>
        <w:jc w:val="both"/>
        <w:rPr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5144177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11"/>
              <w:jc w:val="right"/>
            </w:pPr>
            <w:r>
              <w:t xml:space="preserve">Стр.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3</w:t>
            </w:r>
            <w:r>
              <w:rPr>
                <w:bCs/>
              </w:rPr>
              <w:fldChar w:fldCharType="end"/>
            </w:r>
            <w:r>
              <w:t xml:space="preserve"> из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3</w:t>
            </w:r>
            <w:r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380" w:type="dxa"/>
      <w:tblInd w:w="5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4340"/>
      <w:gridCol w:w="1776"/>
      <w:gridCol w:w="3264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719" w:hRule="atLeast"/>
      </w:trPr>
      <w:tc>
        <w:tcPr>
          <w:tcW w:w="4340" w:type="dxa"/>
        </w:tcPr>
        <w:p>
          <w:pPr>
            <w:pStyle w:val="12"/>
            <w:rPr>
              <w:sz w:val="28"/>
            </w:rPr>
          </w:pPr>
          <w:r>
            <w:rPr>
              <w:b/>
              <w:bCs/>
              <w:sz w:val="28"/>
              <w:szCs w:val="28"/>
            </w:rPr>
            <w:t>Экспертиза исследований медицинских приборов/ оборудования</w:t>
          </w:r>
        </w:p>
      </w:tc>
      <w:tc>
        <w:tcPr>
          <w:tcW w:w="1776" w:type="dxa"/>
        </w:tcPr>
        <w:p>
          <w:pPr>
            <w:pStyle w:val="5"/>
            <w:rPr>
              <w:b w:val="0"/>
              <w:bCs/>
              <w:lang w:val="ru-RU"/>
            </w:rPr>
          </w:pPr>
          <w:r>
            <w:rPr>
              <w:b w:val="0"/>
              <w:bCs/>
              <w:lang w:val="ru-RU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1270</wp:posOffset>
                </wp:positionV>
                <wp:extent cx="904875" cy="604520"/>
                <wp:effectExtent l="0" t="0" r="9525" b="5080"/>
                <wp:wrapThrough wrapText="bothSides">
                  <wp:wrapPolygon>
                    <wp:start x="7731" y="0"/>
                    <wp:lineTo x="4093" y="2723"/>
                    <wp:lineTo x="0" y="8168"/>
                    <wp:lineTo x="0" y="14294"/>
                    <wp:lineTo x="5912" y="20420"/>
                    <wp:lineTo x="7731" y="21101"/>
                    <wp:lineTo x="14552" y="21101"/>
                    <wp:lineTo x="16371" y="20420"/>
                    <wp:lineTo x="21373" y="14294"/>
                    <wp:lineTo x="21373" y="8168"/>
                    <wp:lineTo x="17735" y="2723"/>
                    <wp:lineTo x="14097" y="0"/>
                    <wp:lineTo x="7731" y="0"/>
                  </wp:wrapPolygon>
                </wp:wrapThrough>
                <wp:docPr id="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604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4" w:type="dxa"/>
        </w:tcPr>
        <w:p>
          <w:pPr>
            <w:pStyle w:val="12"/>
            <w:jc w:val="right"/>
            <w:rPr>
              <w:b/>
              <w:bCs/>
              <w:sz w:val="28"/>
            </w:rPr>
          </w:pPr>
          <w:r>
            <w:rPr>
              <w:sz w:val="28"/>
            </w:rPr>
            <w:t>СОП 28-</w:t>
          </w:r>
          <w:r>
            <w:rPr>
              <w:rFonts w:hint="default"/>
              <w:sz w:val="28"/>
              <w:lang w:val="ru-RU"/>
            </w:rPr>
            <w:t>9/</w:t>
          </w:r>
          <w:r>
            <w:rPr>
              <w:sz w:val="28"/>
            </w:rPr>
            <w:t>0</w:t>
          </w:r>
          <w:r>
            <w:rPr>
              <w:rFonts w:hint="default"/>
              <w:sz w:val="28"/>
              <w:lang w:val="ru-RU"/>
            </w:rPr>
            <w:t>2</w:t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0DC82"/>
    <w:multiLevelType w:val="singleLevel"/>
    <w:tmpl w:val="D3E0DC82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36506222"/>
    <w:multiLevelType w:val="multilevel"/>
    <w:tmpl w:val="365062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55CF5C4"/>
    <w:multiLevelType w:val="singleLevel"/>
    <w:tmpl w:val="555CF5C4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5DB47D0D"/>
    <w:multiLevelType w:val="multilevel"/>
    <w:tmpl w:val="5DB47D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A"/>
    <w:rsid w:val="00021AE8"/>
    <w:rsid w:val="00027B7C"/>
    <w:rsid w:val="00031DB6"/>
    <w:rsid w:val="00052265"/>
    <w:rsid w:val="000632A3"/>
    <w:rsid w:val="00065B5E"/>
    <w:rsid w:val="0007438A"/>
    <w:rsid w:val="000B452A"/>
    <w:rsid w:val="000B5A99"/>
    <w:rsid w:val="000D622F"/>
    <w:rsid w:val="00165F3E"/>
    <w:rsid w:val="00176E00"/>
    <w:rsid w:val="00251697"/>
    <w:rsid w:val="002A19B5"/>
    <w:rsid w:val="00305694"/>
    <w:rsid w:val="00326E29"/>
    <w:rsid w:val="003844ED"/>
    <w:rsid w:val="003A617C"/>
    <w:rsid w:val="003C6437"/>
    <w:rsid w:val="003E4FBC"/>
    <w:rsid w:val="003F3346"/>
    <w:rsid w:val="004601BF"/>
    <w:rsid w:val="004724E5"/>
    <w:rsid w:val="004A12CA"/>
    <w:rsid w:val="004B5463"/>
    <w:rsid w:val="004E3FFA"/>
    <w:rsid w:val="00542289"/>
    <w:rsid w:val="005535E5"/>
    <w:rsid w:val="005B6DFA"/>
    <w:rsid w:val="006221B9"/>
    <w:rsid w:val="006628D4"/>
    <w:rsid w:val="00697E14"/>
    <w:rsid w:val="006E7012"/>
    <w:rsid w:val="00771947"/>
    <w:rsid w:val="007D2824"/>
    <w:rsid w:val="007D330E"/>
    <w:rsid w:val="00855D9F"/>
    <w:rsid w:val="008666E7"/>
    <w:rsid w:val="008842BB"/>
    <w:rsid w:val="008B05A4"/>
    <w:rsid w:val="008C0F62"/>
    <w:rsid w:val="008E6E77"/>
    <w:rsid w:val="00900252"/>
    <w:rsid w:val="009576BC"/>
    <w:rsid w:val="009B65E9"/>
    <w:rsid w:val="00A44033"/>
    <w:rsid w:val="00A70C09"/>
    <w:rsid w:val="00A7727B"/>
    <w:rsid w:val="00B429BD"/>
    <w:rsid w:val="00B63AFB"/>
    <w:rsid w:val="00BB4D2B"/>
    <w:rsid w:val="00C44B8D"/>
    <w:rsid w:val="00C5291B"/>
    <w:rsid w:val="00C86329"/>
    <w:rsid w:val="00D07824"/>
    <w:rsid w:val="00D54D99"/>
    <w:rsid w:val="00D67CE7"/>
    <w:rsid w:val="00D8096A"/>
    <w:rsid w:val="00D923D5"/>
    <w:rsid w:val="00DB273C"/>
    <w:rsid w:val="00DC23A4"/>
    <w:rsid w:val="00DF0FDB"/>
    <w:rsid w:val="00DF1738"/>
    <w:rsid w:val="00E142C8"/>
    <w:rsid w:val="00E75E9C"/>
    <w:rsid w:val="00EC0794"/>
    <w:rsid w:val="00F93D5B"/>
    <w:rsid w:val="00FC0273"/>
    <w:rsid w:val="579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7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23"/>
    <w:qFormat/>
    <w:uiPriority w:val="0"/>
    <w:pPr>
      <w:keepNext/>
      <w:jc w:val="center"/>
      <w:outlineLvl w:val="3"/>
    </w:pPr>
    <w:rPr>
      <w:b/>
      <w:sz w:val="22"/>
      <w:szCs w:val="20"/>
      <w:lang w:val="de-DE"/>
    </w:rPr>
  </w:style>
  <w:style w:type="paragraph" w:styleId="6">
    <w:name w:val="heading 8"/>
    <w:basedOn w:val="1"/>
    <w:next w:val="1"/>
    <w:link w:val="24"/>
    <w:qFormat/>
    <w:uiPriority w:val="0"/>
    <w:pPr>
      <w:keepNext/>
      <w:spacing w:line="220" w:lineRule="auto"/>
      <w:jc w:val="center"/>
      <w:outlineLvl w:val="7"/>
    </w:pPr>
    <w:rPr>
      <w:i/>
      <w:sz w:val="22"/>
      <w:szCs w:val="20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2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0">
    <w:name w:val="Body Text"/>
    <w:basedOn w:val="1"/>
    <w:link w:val="28"/>
    <w:qFormat/>
    <w:uiPriority w:val="0"/>
    <w:pPr>
      <w:jc w:val="both"/>
    </w:pPr>
    <w:rPr>
      <w:rFonts w:cs="Cordia New"/>
      <w:lang w:val="en-US" w:eastAsia="en-US" w:bidi="th-TH"/>
    </w:rPr>
  </w:style>
  <w:style w:type="paragraph" w:styleId="11">
    <w:name w:val="foot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head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character" w:styleId="13">
    <w:name w:val="Hyperlink"/>
    <w:basedOn w:val="7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Indent"/>
    <w:basedOn w:val="1"/>
    <w:semiHidden/>
    <w:qFormat/>
    <w:uiPriority w:val="0"/>
    <w:pPr>
      <w:spacing w:before="120" w:after="120"/>
      <w:ind w:left="680"/>
      <w:jc w:val="both"/>
    </w:pPr>
    <w:rPr>
      <w:szCs w:val="20"/>
    </w:rPr>
  </w:style>
  <w:style w:type="paragraph" w:styleId="15">
    <w:name w:val="Plain Text"/>
    <w:basedOn w:val="1"/>
    <w:link w:val="22"/>
    <w:semiHidden/>
    <w:unhideWhenUsed/>
    <w:qFormat/>
    <w:uiPriority w:val="99"/>
    <w:rPr>
      <w:rFonts w:ascii="Calibri" w:hAnsi="Calibri" w:eastAsiaTheme="minorHAnsi" w:cstheme="minorBidi"/>
      <w:sz w:val="22"/>
      <w:szCs w:val="21"/>
      <w:lang w:eastAsia="en-US"/>
    </w:rPr>
  </w:style>
  <w:style w:type="character" w:customStyle="1" w:styleId="16">
    <w:name w:val="Верхний колонтитул Знак"/>
    <w:basedOn w:val="7"/>
    <w:link w:val="1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"/>
    <w:basedOn w:val="7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s0"/>
    <w:qFormat/>
    <w:uiPriority w:val="99"/>
    <w:rPr>
      <w:rFonts w:ascii="Times New Roman" w:hAnsi="Times New Roman" w:cs="Times New Roman"/>
      <w:color w:val="000000"/>
      <w:sz w:val="32"/>
      <w:szCs w:val="32"/>
      <w:u w:val="none"/>
    </w:rPr>
  </w:style>
  <w:style w:type="paragraph" w:styleId="19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0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Текст выноски Знак"/>
    <w:basedOn w:val="7"/>
    <w:link w:val="9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2">
    <w:name w:val="Текст Знак"/>
    <w:basedOn w:val="7"/>
    <w:link w:val="15"/>
    <w:semiHidden/>
    <w:uiPriority w:val="99"/>
    <w:rPr>
      <w:rFonts w:ascii="Calibri" w:hAnsi="Calibri"/>
      <w:szCs w:val="21"/>
    </w:rPr>
  </w:style>
  <w:style w:type="character" w:customStyle="1" w:styleId="23">
    <w:name w:val="Заголовок 4 Знак"/>
    <w:basedOn w:val="7"/>
    <w:link w:val="5"/>
    <w:qFormat/>
    <w:uiPriority w:val="0"/>
    <w:rPr>
      <w:rFonts w:ascii="Times New Roman" w:hAnsi="Times New Roman" w:eastAsia="Times New Roman" w:cs="Times New Roman"/>
      <w:b/>
      <w:szCs w:val="20"/>
      <w:lang w:val="de-DE" w:eastAsia="ru-RU"/>
    </w:rPr>
  </w:style>
  <w:style w:type="character" w:customStyle="1" w:styleId="24">
    <w:name w:val="Заголовок 8 Знак"/>
    <w:basedOn w:val="7"/>
    <w:link w:val="6"/>
    <w:qFormat/>
    <w:uiPriority w:val="0"/>
    <w:rPr>
      <w:rFonts w:ascii="Times New Roman" w:hAnsi="Times New Roman" w:eastAsia="Times New Roman" w:cs="Times New Roman"/>
      <w:i/>
      <w:szCs w:val="20"/>
      <w:lang w:eastAsia="ru-RU"/>
    </w:rPr>
  </w:style>
  <w:style w:type="character" w:customStyle="1" w:styleId="25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eastAsia="ru-RU"/>
    </w:rPr>
  </w:style>
  <w:style w:type="character" w:customStyle="1" w:styleId="26">
    <w:name w:val="Заголовок 2 Знак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27">
    <w:name w:val="Заголовок 3 Знак"/>
    <w:basedOn w:val="7"/>
    <w:link w:val="4"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28">
    <w:name w:val="Основной текст Знак"/>
    <w:basedOn w:val="7"/>
    <w:link w:val="10"/>
    <w:qFormat/>
    <w:uiPriority w:val="0"/>
    <w:rPr>
      <w:rFonts w:ascii="Times New Roman" w:hAnsi="Times New Roman" w:eastAsia="Times New Roman" w:cs="Cordia New"/>
      <w:sz w:val="24"/>
      <w:szCs w:val="24"/>
      <w:lang w:val="en-US"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4164</Characters>
  <Lines>34</Lines>
  <Paragraphs>9</Paragraphs>
  <TotalTime>6</TotalTime>
  <ScaleCrop>false</ScaleCrop>
  <LinksUpToDate>false</LinksUpToDate>
  <CharactersWithSpaces>4885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2022-04-14T11:03:00Z</dcterms:created>
  <dc:creator>Кайдар Эльмира</dc:creator>
  <cp:lastModifiedBy>OlgaVisternichan</cp:lastModifiedBy>
  <cp:lastPrinted>2022-04-14T10:39:00Z</cp:lastPrinted>
  <dcterms:modified xsi:type="dcterms:W3CDTF">2023-02-26T17:32:26Z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C8B20E54304B4CB5B3CD54E43072D4A5</vt:lpwstr>
  </property>
</Properties>
</file>